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邵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阳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市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公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共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资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源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交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易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中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心</w:t>
      </w:r>
    </w:p>
    <w:p>
      <w:pPr>
        <w:spacing w:after="312" w:afterLines="1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综合评标专家库专家抽取登记表</w:t>
      </w:r>
    </w:p>
    <w:p>
      <w:pPr>
        <w:spacing w:after="156" w:afterLines="50"/>
        <w:ind w:right="420"/>
        <w:jc w:val="right"/>
        <w:rPr>
          <w:rFonts w:hint="eastAsia"/>
        </w:rPr>
      </w:pPr>
      <w:r>
        <w:rPr>
          <w:rFonts w:hint="eastAsia" w:ascii="宋体" w:hAnsi="宋体"/>
        </w:rPr>
        <w:t xml:space="preserve"> 填表日期：     年    月    日</w:t>
      </w:r>
    </w:p>
    <w:tbl>
      <w:tblPr>
        <w:tblStyle w:val="2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4"/>
        <w:gridCol w:w="495"/>
        <w:gridCol w:w="2307"/>
        <w:gridCol w:w="382"/>
        <w:gridCol w:w="790"/>
        <w:gridCol w:w="846"/>
        <w:gridCol w:w="273"/>
        <w:gridCol w:w="313"/>
        <w:gridCol w:w="50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6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核准部门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核准文号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355" w:firstLine="325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投资性质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□国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家或政府投资项目</w:t>
            </w:r>
          </w:p>
          <w:p>
            <w:pPr>
              <w:widowControl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□其他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项目代码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355" w:firstLine="325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业主名称</w:t>
            </w:r>
          </w:p>
        </w:tc>
        <w:tc>
          <w:tcPr>
            <w:tcW w:w="6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投标组织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形式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□委托招标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□自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招标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招标方式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□公开招标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招标类型</w:t>
            </w:r>
          </w:p>
        </w:tc>
        <w:tc>
          <w:tcPr>
            <w:tcW w:w="6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勘察设计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交通    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水利   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信息化   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市政  </w:t>
            </w:r>
          </w:p>
          <w:p>
            <w:pPr>
              <w:spacing w:line="400" w:lineRule="exact"/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□建筑工程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政府采购       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药品采购 </w:t>
            </w:r>
          </w:p>
          <w:p>
            <w:pPr>
              <w:spacing w:line="400" w:lineRule="exac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土地开发整理   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 xml:space="preserve">机电设备采购    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项目投资总额</w:t>
            </w:r>
          </w:p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（万元）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招标发布媒体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项目所属地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标段投资额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评标开始时间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评标结束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开标地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开标时间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经办人姓名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经办人证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件号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码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经办人电话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代理机构名称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招投标行政</w:t>
            </w:r>
          </w:p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监督部门</w:t>
            </w:r>
          </w:p>
        </w:tc>
        <w:tc>
          <w:tcPr>
            <w:tcW w:w="6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第一监督人单位</w:t>
            </w:r>
          </w:p>
        </w:tc>
        <w:tc>
          <w:tcPr>
            <w:tcW w:w="6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第一监督人姓名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第一监督人电话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抽取条件说明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专业名称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地区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回避单位情况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回避单位名称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组织机构代码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回避原因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填表说明：</w:t>
            </w:r>
          </w:p>
          <w:p>
            <w:pPr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1.回避单位与抽取条件栏数不够，可自行进行修改；</w:t>
            </w:r>
            <w:bookmarkStart w:id="0" w:name="_GoBack"/>
            <w:bookmarkEnd w:id="0"/>
          </w:p>
          <w:p>
            <w:pPr>
              <w:spacing w:line="340" w:lineRule="exact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招标发布媒体为“湖南省公共资源交易服务”、“湖南招标投标信息网”、“湖南省招标投标监管网”；</w:t>
            </w:r>
          </w:p>
          <w:p>
            <w:pPr>
              <w:spacing w:line="340" w:lineRule="exact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单位回避原因为“项目业主”、“招标单位”、“代理机构”、“监督单位”、“设计单位”、“主管单位”、“投标单位”和“其它”；</w:t>
            </w:r>
          </w:p>
          <w:p>
            <w:pPr>
              <w:spacing w:line="340" w:lineRule="exact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>4.回避单位情况栏，回避单位名称和组织机构代码需完整填写；</w:t>
            </w:r>
          </w:p>
          <w:p>
            <w:pPr>
              <w:adjustRightInd w:val="0"/>
              <w:snapToGrid w:val="0"/>
              <w:spacing w:after="312" w:afterLines="100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招标人、行政监督部门需签字盖章后，</w:t>
            </w: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提供纸质版原件一份。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因回避制度或非专家因素造成评审专家到达现场未评审的，</w:t>
      </w:r>
      <w:r>
        <w:rPr>
          <w:rFonts w:hint="eastAsia" w:ascii="仿宋" w:hAnsi="仿宋" w:eastAsia="仿宋"/>
          <w:sz w:val="28"/>
          <w:szCs w:val="28"/>
          <w:lang w:eastAsia="zh-CN"/>
        </w:rPr>
        <w:t>按</w:t>
      </w:r>
      <w:r>
        <w:rPr>
          <w:rFonts w:hint="eastAsia" w:ascii="仿宋" w:hAnsi="仿宋" w:eastAsia="仿宋"/>
          <w:sz w:val="28"/>
          <w:szCs w:val="28"/>
        </w:rPr>
        <w:t>省发改委（湘发改公管〔2019〕963号）文件支付评审劳务报酬。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312" w:afterLines="100" w:line="3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</w:rPr>
        <w:t>招标人（招标代理机构代表）签字（盖章）：</w:t>
      </w:r>
      <w:r>
        <w:rPr>
          <w:rFonts w:hint="eastAsia" w:ascii="宋体" w:hAnsi="宋体"/>
          <w:color w:val="333333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 w:line="360" w:lineRule="exact"/>
        <w:textAlignment w:val="auto"/>
      </w:pPr>
      <w:r>
        <w:rPr>
          <w:rFonts w:hint="eastAsia" w:ascii="宋体" w:hAnsi="宋体"/>
          <w:sz w:val="28"/>
          <w:szCs w:val="28"/>
        </w:rPr>
        <w:t>行政</w:t>
      </w:r>
      <w:r>
        <w:rPr>
          <w:rFonts w:hint="eastAsia" w:ascii="宋体" w:hAnsi="宋体"/>
          <w:color w:val="333333"/>
          <w:sz w:val="28"/>
          <w:szCs w:val="28"/>
        </w:rPr>
        <w:t>监督部门签字（盖章）：</w:t>
      </w:r>
      <w:r>
        <w:rPr>
          <w:rFonts w:hint="eastAsia" w:ascii="宋体" w:hAnsi="宋体"/>
          <w:color w:val="333333"/>
          <w:sz w:val="28"/>
          <w:szCs w:val="28"/>
          <w:u w:val="single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MWI5MjkwNDM3MjVkYzc5Y2VhNThhYzA3NjcyMDQifQ=="/>
  </w:docVars>
  <w:rsids>
    <w:rsidRoot w:val="00115036"/>
    <w:rsid w:val="00115036"/>
    <w:rsid w:val="0B5C4629"/>
    <w:rsid w:val="19816709"/>
    <w:rsid w:val="1F8F321A"/>
    <w:rsid w:val="205F3AD4"/>
    <w:rsid w:val="2B23199E"/>
    <w:rsid w:val="3BAC61B9"/>
    <w:rsid w:val="6A343E26"/>
    <w:rsid w:val="75BE1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587</Words>
  <Characters>597</Characters>
  <Lines>5</Lines>
  <Paragraphs>1</Paragraphs>
  <TotalTime>9</TotalTime>
  <ScaleCrop>false</ScaleCrop>
  <LinksUpToDate>false</LinksUpToDate>
  <CharactersWithSpaces>720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2020-06-19T03:09:00Z</dcterms:created>
  <dc:creator>a</dc:creator>
  <cp:lastModifiedBy>cqs2</cp:lastModifiedBy>
  <dcterms:modified xsi:type="dcterms:W3CDTF">2022-05-23T06:39:35Z</dcterms:modified>
  <dc:title>邵 阳 市 公 共 资 源 交 易 中 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6D795B3FD8964128A5D9524616CD9112</vt:lpwstr>
  </property>
</Properties>
</file>